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green"/>
          <w:rtl w:val="0"/>
        </w:rPr>
        <w:t xml:space="preserve">Buyer guidance:</w:t>
      </w:r>
      <w:r w:rsidDel="00000000" w:rsidR="00000000" w:rsidRPr="00000000">
        <w:rPr>
          <w:rFonts w:ascii="Arial" w:cs="Arial" w:eastAsia="Arial" w:hAnsi="Arial"/>
          <w:b w:val="1"/>
          <w:sz w:val="24"/>
          <w:szCs w:val="24"/>
          <w:rtl w:val="0"/>
        </w:rPr>
        <w:t xml:space="preserve"> Paragraph 3.1.6 is intended to allow for clarification of submitted tenders within the scope of Regulation 56(4) which does not extend to material changes to already submitted tenders or negotiation.  Buyers need not seek clarifications but where they do it is suggested that clear records are kept and where it would not breach confidentiality obligations to do so interactions with one Supplier should be notified to all potential Suppliers in line with transparency principles.  Buyers might also wish to consider re-running a Further Competition Procedure where it becomes apparent from submitted tenders and clarification questions that the Statement of Requirements has not resulted in Deliverables that are acceptable to the Buyer]</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5">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6">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7">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B">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D">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F">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0">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catalogue and description of the Deliverables as set out in Framework Schedule 1 (Specification) for all Suppliers capable of meeting the Statement of Requirements in order to establish which Supplier provides the most economically advantageous solution; and</w:t>
      </w:r>
    </w:p>
    <w:p w:rsidR="00000000" w:rsidDel="00000000" w:rsidP="00000000" w:rsidRDefault="00000000" w:rsidRPr="00000000" w14:paraId="00000013">
      <w:pPr>
        <w:widowControl w:val="1"/>
        <w:numPr>
          <w:ilvl w:val="2"/>
          <w:numId w:val="3"/>
        </w:numPr>
        <w:tabs>
          <w:tab w:val="left" w:pos="3641"/>
        </w:tabs>
        <w:spacing w:after="120" w:before="120"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apply the Direct Award Criteria only to the Catalogue of the Suppliers capable of meeting the required Standard and the Statement of Requirements;</w:t>
      </w:r>
      <w:r w:rsidDel="00000000" w:rsidR="00000000" w:rsidRPr="00000000">
        <w:rPr>
          <w:rtl w:val="0"/>
        </w:rPr>
      </w:r>
    </w:p>
    <w:p w:rsidR="00000000" w:rsidDel="00000000" w:rsidP="00000000" w:rsidRDefault="00000000" w:rsidRPr="00000000" w14:paraId="0000001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7">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8">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r w:rsidDel="00000000" w:rsidR="00000000" w:rsidRPr="00000000">
        <w:rPr>
          <w:rtl w:val="0"/>
        </w:rPr>
      </w:r>
    </w:p>
    <w:p w:rsidR="00000000" w:rsidDel="00000000" w:rsidP="00000000" w:rsidRDefault="00000000" w:rsidRPr="00000000" w14:paraId="0000001A">
      <w:pPr>
        <w:widowControl w:val="1"/>
        <w:numPr>
          <w:ilvl w:val="2"/>
          <w:numId w:val="3"/>
        </w:numPr>
        <w:tabs>
          <w:tab w:val="left" w:pos="3641"/>
        </w:tabs>
        <w:spacing w:after="240" w:lineRule="auto"/>
        <w:ind w:left="2610" w:hanging="720"/>
        <w:rPr>
          <w:rFonts w:ascii="Arial" w:cs="Arial" w:eastAsia="Arial" w:hAnsi="Arial"/>
          <w:color w:val="000000"/>
        </w:rPr>
      </w:pPr>
      <w:bookmarkStart w:colFirst="0" w:colLast="0" w:name="_heading=h.2et92p0" w:id="4"/>
      <w:bookmarkEnd w:id="4"/>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identify the Suppliers capable of meeting the required Standard;</w:t>
      </w:r>
    </w:p>
    <w:p w:rsidR="00000000" w:rsidDel="00000000" w:rsidP="00000000" w:rsidRDefault="00000000" w:rsidRPr="00000000" w14:paraId="0000001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xxyc0us5ztn"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w:t>
      </w:r>
      <w:r w:rsidDel="00000000" w:rsidR="00000000" w:rsidRPr="00000000">
        <w:rPr>
          <w:rFonts w:ascii="Arial" w:cs="Arial" w:eastAsia="Arial" w:hAnsi="Arial"/>
          <w:color w:val="000000"/>
          <w:sz w:val="24"/>
          <w:szCs w:val="24"/>
          <w:rtl w:val="0"/>
        </w:rPr>
        <w:t xml:space="preserve">Order Form</w:t>
      </w:r>
      <w:r w:rsidDel="00000000" w:rsidR="00000000" w:rsidRPr="00000000">
        <w:rPr>
          <w:rFonts w:ascii="Arial" w:cs="Arial" w:eastAsia="Arial" w:hAnsi="Arial"/>
          <w:color w:val="000000"/>
          <w:sz w:val="24"/>
          <w:szCs w:val="24"/>
          <w:rtl w:val="0"/>
        </w:rPr>
        <w:t xml:space="preserve"> only to the extent permitted by and in accordance with the requirements of the Regulations; </w:t>
      </w:r>
      <w:r w:rsidDel="00000000" w:rsidR="00000000" w:rsidRPr="00000000">
        <w:rPr>
          <w:rtl w:val="0"/>
        </w:rPr>
      </w:r>
    </w:p>
    <w:p w:rsidR="00000000" w:rsidDel="00000000" w:rsidP="00000000" w:rsidRDefault="00000000" w:rsidRPr="00000000" w14:paraId="0000001C">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E">
      <w:pPr>
        <w:keepNext w:val="1"/>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F">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0">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1">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tabs>
          <w:tab w:val="left" w:pos="6238"/>
        </w:tabs>
        <w:spacing w:after="120" w:before="120" w:lineRule="auto"/>
        <w:ind w:left="1440" w:firstLine="0"/>
        <w:rPr>
          <w:rFonts w:ascii="Arial" w:cs="Arial" w:eastAsia="Arial" w:hAnsi="Arial"/>
          <w:sz w:val="24"/>
          <w:szCs w:val="24"/>
          <w:shd w:fill="b6d7a8" w:val="clear"/>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shd w:fill="b6d7a8" w:val="clear"/>
          <w:rtl w:val="0"/>
        </w:rPr>
        <w:t xml:space="preserve">   </w:t>
      </w:r>
    </w:p>
    <w:p w:rsidR="00000000" w:rsidDel="00000000" w:rsidP="00000000" w:rsidRDefault="00000000" w:rsidRPr="00000000" w14:paraId="00000023">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 </w:t>
      </w:r>
      <w:r w:rsidDel="00000000" w:rsidR="00000000" w:rsidRPr="00000000">
        <w:rPr>
          <w:rtl w:val="0"/>
        </w:rPr>
      </w:r>
    </w:p>
    <w:p w:rsidR="00000000" w:rsidDel="00000000" w:rsidP="00000000" w:rsidRDefault="00000000" w:rsidRPr="00000000" w14:paraId="00000024">
      <w:pPr>
        <w:keepNext w:val="1"/>
        <w:widowControl w:val="1"/>
        <w:numPr>
          <w:ilvl w:val="2"/>
          <w:numId w:val="3"/>
        </w:numPr>
        <w:tabs>
          <w:tab w:val="left" w:pos="3641"/>
        </w:tabs>
        <w:spacing w:after="240" w:lineRule="auto"/>
        <w:ind w:left="2610" w:hanging="720"/>
        <w:rPr>
          <w:rFonts w:ascii="Arial" w:cs="Arial" w:eastAsia="Arial" w:hAnsi="Arial"/>
          <w:color w:val="000000"/>
        </w:rPr>
      </w:pPr>
      <w:r w:rsidDel="00000000" w:rsidR="00000000" w:rsidRPr="00000000">
        <w:rPr>
          <w:rFonts w:ascii="Arial" w:cs="Arial" w:eastAsia="Arial" w:hAnsi="Arial"/>
          <w:sz w:val="24"/>
          <w:szCs w:val="24"/>
          <w:rtl w:val="0"/>
        </w:rPr>
        <w:t xml:space="preserve">where the Buyer deems it appropriate to do so and in accordance with Regulation 56, request further clarification of a Call-Off Tender after its submission in order to resolve any minor errors or ambiguities or seek missing information from the Supplier;</w:t>
      </w:r>
    </w:p>
    <w:p w:rsidR="00000000" w:rsidDel="00000000" w:rsidP="00000000" w:rsidRDefault="00000000" w:rsidRPr="00000000" w14:paraId="00000025">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applicable to the Deliverables,</w:t>
      </w:r>
    </w:p>
    <w:p w:rsidR="00000000" w:rsidDel="00000000" w:rsidP="00000000" w:rsidRDefault="00000000" w:rsidRPr="00000000" w14:paraId="0000002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B">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C">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F">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requested by the Buyer, </w:t>
      </w: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5">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6">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9">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A">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1">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 above) of the Order Form Template set out in Framework Schedule 6 (Order Form Template and Call-Off Schedules).</w:t>
      </w:r>
    </w:p>
    <w:p w:rsidR="00000000" w:rsidDel="00000000" w:rsidP="00000000" w:rsidRDefault="00000000" w:rsidRPr="00000000" w14:paraId="00000043">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5">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6">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Guidance:</w:t>
      </w:r>
      <w:r w:rsidDel="00000000" w:rsidR="00000000" w:rsidRPr="00000000">
        <w:rPr>
          <w:rFonts w:ascii="Arial Bold" w:cs="Arial Bold" w:eastAsia="Arial Bold" w:hAnsi="Arial Bold"/>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47">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8">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9">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5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53">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60">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1">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62">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3">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6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w:t>
      </w:r>
      <w:r w:rsidDel="00000000" w:rsidR="00000000" w:rsidRPr="00000000">
        <w:rPr>
          <w:rFonts w:ascii="Arial" w:cs="Arial" w:eastAsia="Arial" w:hAnsi="Arial"/>
          <w:b w:val="1"/>
          <w:color w:val="000000"/>
          <w:sz w:val="36"/>
          <w:szCs w:val="36"/>
          <w:rtl w:val="0"/>
        </w:rPr>
        <w:t xml:space="preserve">Criteria</w:t>
      </w:r>
      <w:r w:rsidDel="00000000" w:rsidR="00000000" w:rsidRPr="00000000">
        <w:rPr>
          <w:rtl w:val="0"/>
        </w:rPr>
      </w:r>
    </w:p>
    <w:p w:rsidR="00000000" w:rsidDel="00000000" w:rsidP="00000000" w:rsidRDefault="00000000" w:rsidRPr="00000000" w14:paraId="0000006A">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w:t>
      </w:r>
      <w:r w:rsidDel="00000000" w:rsidR="00000000" w:rsidRPr="00000000">
        <w:rPr>
          <w:rFonts w:ascii="Arial" w:cs="Arial" w:eastAsia="Arial" w:hAnsi="Arial"/>
          <w:sz w:val="24"/>
          <w:szCs w:val="24"/>
          <w:rtl w:val="0"/>
        </w:rPr>
        <w:t xml:space="preserve">is designed to assist Buyers seeking to award a Call-Off Contract on the basis of direct award or through reopening competition under a Further Competition Procedure in accordance with the Call-Off Procedure.</w:t>
      </w:r>
      <w:r w:rsidDel="00000000" w:rsidR="00000000" w:rsidRPr="00000000">
        <w:rPr>
          <w:rtl w:val="0"/>
        </w:rPr>
      </w:r>
    </w:p>
    <w:p w:rsidR="00000000" w:rsidDel="00000000" w:rsidP="00000000" w:rsidRDefault="00000000" w:rsidRPr="00000000" w14:paraId="0000006B">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w:t>
      </w:r>
      <w:r w:rsidDel="00000000" w:rsidR="00000000" w:rsidRPr="00000000">
        <w:rPr>
          <w:rFonts w:ascii="Arial" w:cs="Arial" w:eastAsia="Arial" w:hAnsi="Arial"/>
          <w:sz w:val="24"/>
          <w:szCs w:val="24"/>
          <w:rtl w:val="0"/>
        </w:rPr>
        <w:t xml:space="preserve">shall</w:t>
      </w:r>
      <w:r w:rsidDel="00000000" w:rsidR="00000000" w:rsidRPr="00000000">
        <w:rPr>
          <w:rFonts w:ascii="Arial" w:cs="Arial" w:eastAsia="Arial" w:hAnsi="Arial"/>
          <w:color w:val="000000"/>
          <w:sz w:val="24"/>
          <w:szCs w:val="24"/>
          <w:rtl w:val="0"/>
        </w:rPr>
        <w:t xml:space="preserve"> be awarded on the basis of most economically advantageous tender ("MEAT") from the point o</w:t>
      </w:r>
      <w:r w:rsidDel="00000000" w:rsidR="00000000" w:rsidRPr="00000000">
        <w:rPr>
          <w:rFonts w:ascii="Arial" w:cs="Arial" w:eastAsia="Arial" w:hAnsi="Arial"/>
          <w:sz w:val="24"/>
          <w:szCs w:val="24"/>
          <w:rtl w:val="0"/>
        </w:rPr>
        <w:t xml:space="preserve">f view of the Buyer</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shd w:fill="b6d7a8" w:val="clear"/>
          <w:rtl w:val="0"/>
        </w:rPr>
        <w:t xml:space="preserve">  </w:t>
      </w:r>
    </w:p>
    <w:p w:rsidR="00000000" w:rsidDel="00000000" w:rsidP="00000000" w:rsidRDefault="00000000" w:rsidRPr="00000000" w14:paraId="0000006C">
      <w:pPr>
        <w:widowControl w:val="1"/>
        <w:numPr>
          <w:ilvl w:val="0"/>
          <w:numId w:val="1"/>
        </w:numPr>
        <w:tabs>
          <w:tab w:val="left" w:pos="3054"/>
        </w:tabs>
        <w:spacing w:after="240" w:lineRule="auto"/>
        <w:ind w:left="1080" w:hanging="360"/>
        <w:rPr>
          <w:rFonts w:ascii="Arial" w:cs="Arial" w:eastAsia="Arial" w:hAnsi="Arial"/>
        </w:rPr>
      </w:pPr>
      <w:r w:rsidDel="00000000" w:rsidR="00000000" w:rsidRPr="00000000">
        <w:rPr>
          <w:rFonts w:ascii="Arial" w:cs="Arial" w:eastAsia="Arial" w:hAnsi="Arial"/>
          <w:sz w:val="24"/>
          <w:szCs w:val="24"/>
          <w:rtl w:val="0"/>
        </w:rPr>
        <w:t xml:space="preserve">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3054"/>
        </w:tabs>
        <w:spacing w:after="120" w:before="12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F">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7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3">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 (life cycle costs, cost effectiveness &amp; price; price and running costs)]</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7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w:t>
            </w:r>
            <w:r w:rsidDel="00000000" w:rsidR="00000000" w:rsidRPr="00000000">
              <w:rPr>
                <w:rFonts w:ascii="Arial" w:cs="Arial" w:eastAsia="Arial" w:hAnsi="Arial"/>
                <w:sz w:val="24"/>
                <w:szCs w:val="24"/>
                <w:highlight w:val="yellow"/>
                <w:rtl w:val="0"/>
              </w:rPr>
              <w:t xml:space="preserve"> Value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tc>
        <w:tc>
          <w:tcPr/>
          <w:p w:rsidR="00000000" w:rsidDel="00000000" w:rsidP="00000000" w:rsidRDefault="00000000" w:rsidRPr="00000000" w14:paraId="0000007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F">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2">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84">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w:t>
            </w:r>
          </w:p>
          <w:p w:rsidR="00000000" w:rsidDel="00000000" w:rsidP="00000000" w:rsidRDefault="00000000" w:rsidRPr="00000000" w14:paraId="0000008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[Which consists of the following criteria:</w:t>
            </w:r>
          </w:p>
          <w:p w:rsidR="00000000" w:rsidDel="00000000" w:rsidP="00000000" w:rsidRDefault="00000000" w:rsidRPr="00000000" w14:paraId="0000008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[Added Value / Innovation]</w:t>
            </w:r>
          </w:p>
          <w:p w:rsidR="00000000" w:rsidDel="00000000" w:rsidP="00000000" w:rsidRDefault="00000000" w:rsidRPr="00000000" w14:paraId="0000008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 Value]</w:t>
            </w:r>
          </w:p>
          <w:p w:rsidR="00000000" w:rsidDel="00000000" w:rsidP="00000000" w:rsidRDefault="00000000" w:rsidRPr="00000000" w14:paraId="000000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[Approach To Delivery Of The Services]</w:t>
            </w:r>
          </w:p>
          <w:p w:rsidR="00000000" w:rsidDel="00000000" w:rsidP="00000000" w:rsidRDefault="00000000" w:rsidRPr="00000000" w14:paraId="0000008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[Implementation]</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[Running costs]</w:t>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[Delivery date and delivery period]</w:t>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 of completion]</w:t>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[Transition]</w:t>
            </w:r>
            <w:r w:rsidDel="00000000" w:rsidR="00000000" w:rsidRPr="00000000">
              <w:rPr>
                <w:rtl w:val="0"/>
              </w:rPr>
            </w:r>
          </w:p>
        </w:tc>
        <w:tc>
          <w:tcPr/>
          <w:p w:rsidR="00000000" w:rsidDel="00000000" w:rsidP="00000000" w:rsidRDefault="00000000" w:rsidRPr="00000000" w14:paraId="000000A1">
            <w:pPr>
              <w:widowControl w:val="1"/>
              <w:tabs>
                <w:tab w:val="left"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[Service / Approach to delivery of Service]</w:t>
            </w:r>
            <w:r w:rsidDel="00000000" w:rsidR="00000000" w:rsidRPr="00000000">
              <w:rPr>
                <w:rtl w:val="0"/>
              </w:rPr>
            </w:r>
          </w:p>
        </w:tc>
        <w:tc>
          <w:tcPr/>
          <w:p w:rsidR="00000000" w:rsidDel="00000000" w:rsidP="00000000" w:rsidRDefault="00000000" w:rsidRPr="00000000" w14:paraId="000000A3">
            <w:pPr>
              <w:widowControl w:val="1"/>
              <w:tabs>
                <w:tab w:val="left"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[Legal / Commercial]</w:t>
            </w:r>
            <w:r w:rsidDel="00000000" w:rsidR="00000000" w:rsidRPr="00000000">
              <w:rPr>
                <w:rtl w:val="0"/>
              </w:rPr>
            </w:r>
          </w:p>
        </w:tc>
        <w:tc>
          <w:tcPr/>
          <w:p w:rsidR="00000000" w:rsidDel="00000000" w:rsidP="00000000" w:rsidRDefault="00000000" w:rsidRPr="00000000" w14:paraId="000000A5">
            <w:pPr>
              <w:widowControl w:val="1"/>
              <w:tabs>
                <w:tab w:val="left"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[Added value / Innovation]</w:t>
            </w:r>
            <w:r w:rsidDel="00000000" w:rsidR="00000000" w:rsidRPr="00000000">
              <w:rPr>
                <w:rtl w:val="0"/>
              </w:rPr>
            </w:r>
          </w:p>
        </w:tc>
        <w:tc>
          <w:tcPr/>
          <w:p w:rsidR="00000000" w:rsidDel="00000000" w:rsidP="00000000" w:rsidRDefault="00000000" w:rsidRPr="00000000" w14:paraId="000000A7">
            <w:pPr>
              <w:widowControl w:val="1"/>
              <w:tabs>
                <w:tab w:val="left"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[Risk and risk management]</w:t>
            </w:r>
            <w:r w:rsidDel="00000000" w:rsidR="00000000" w:rsidRPr="00000000">
              <w:rPr>
                <w:rtl w:val="0"/>
              </w:rPr>
            </w:r>
          </w:p>
        </w:tc>
        <w:tc>
          <w:tcPr/>
          <w:p w:rsidR="00000000" w:rsidDel="00000000" w:rsidP="00000000" w:rsidRDefault="00000000" w:rsidRPr="00000000" w14:paraId="000000A9">
            <w:pPr>
              <w:widowControl w:val="1"/>
              <w:tabs>
                <w:tab w:val="left" w:pos="851"/>
              </w:tabs>
              <w:spacing w:after="240" w:lineRule="auto"/>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B">
      <w:pPr>
        <w:widowControl w:val="1"/>
        <w:spacing w:after="16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w:t>
      </w:r>
    </w:p>
    <w:p w:rsidR="00000000" w:rsidDel="00000000" w:rsidP="00000000" w:rsidRDefault="00000000" w:rsidRPr="00000000" w14:paraId="000000AC">
      <w:pPr>
        <w:widowControl w:val="1"/>
        <w:spacing w:after="160" w:line="259" w:lineRule="auto"/>
        <w:rPr>
          <w:rFonts w:ascii="Arial" w:cs="Arial" w:eastAsia="Arial" w:hAnsi="Arial"/>
          <w:sz w:val="24"/>
          <w:szCs w:val="24"/>
        </w:rPr>
      </w:pPr>
      <w:hyperlink r:id="rId7">
        <w:r w:rsidDel="00000000" w:rsidR="00000000" w:rsidRPr="00000000">
          <w:rPr>
            <w:rFonts w:ascii="Arial" w:cs="Arial" w:eastAsia="Arial" w:hAnsi="Arial"/>
            <w:color w:val="0563c1"/>
            <w:sz w:val="24"/>
            <w:szCs w:val="24"/>
            <w:u w:val="single"/>
            <w:rtl w:val="0"/>
          </w:rPr>
          <w:t xml:space="preserve">Procurement Policy Note 6/20</w:t>
        </w:r>
      </w:hyperlink>
      <w:r w:rsidDel="00000000" w:rsidR="00000000" w:rsidRPr="00000000">
        <w:rPr>
          <w:rFonts w:ascii="Arial" w:cs="Arial" w:eastAsia="Arial" w:hAnsi="Arial"/>
          <w:sz w:val="24"/>
          <w:szCs w:val="24"/>
          <w:rtl w:val="0"/>
        </w:rPr>
        <w:t xml:space="preserve"> launched a new model to deliver social value through the government's commercial activities. Central government organisations must use this model to take account of the additional social benefits that can be achieved in the delivery of their contracts, using policy outcomes aligned with the government's priorities.</w:t>
      </w:r>
    </w:p>
    <w:p w:rsidR="00000000" w:rsidDel="00000000" w:rsidP="00000000" w:rsidRDefault="00000000" w:rsidRPr="00000000" w14:paraId="000000AD">
      <w:pPr>
        <w:widowControl w:val="1"/>
        <w:spacing w:after="16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When carrying out a Further Competition Procedure under the Network </w:t>
      </w:r>
      <w:r w:rsidDel="00000000" w:rsidR="00000000" w:rsidRPr="00000000">
        <w:rPr>
          <w:rFonts w:ascii="Arial" w:cs="Arial" w:eastAsia="Arial" w:hAnsi="Arial"/>
          <w:sz w:val="24"/>
          <w:szCs w:val="24"/>
          <w:rtl w:val="0"/>
        </w:rPr>
        <w:t xml:space="preserve"> Services Framework</w:t>
      </w:r>
      <w:r w:rsidDel="00000000" w:rsidR="00000000" w:rsidRPr="00000000">
        <w:rPr>
          <w:rFonts w:ascii="Arial" w:cs="Arial" w:eastAsia="Arial" w:hAnsi="Arial"/>
          <w:sz w:val="24"/>
          <w:szCs w:val="24"/>
          <w:rtl w:val="0"/>
        </w:rPr>
        <w:t xml:space="preserve"> central government Buyers must therefore comply with the policy set out in PPN 6/20 by ensuring that they evaluate Further Competition tenders against social value requirements aligned with governments </w:t>
      </w:r>
      <w:hyperlink r:id="rId8">
        <w:r w:rsidDel="00000000" w:rsidR="00000000" w:rsidRPr="00000000">
          <w:rPr>
            <w:rFonts w:ascii="Arial" w:cs="Arial" w:eastAsia="Arial" w:hAnsi="Arial"/>
            <w:color w:val="0563c1"/>
            <w:sz w:val="24"/>
            <w:szCs w:val="24"/>
            <w:u w:val="single"/>
            <w:rtl w:val="0"/>
          </w:rPr>
          <w:t xml:space="preserve">Social Value Model</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E">
      <w:pPr>
        <w:widowControl w:val="1"/>
        <w:tabs>
          <w:tab w:val="left" w:pos="851"/>
        </w:tabs>
        <w:spacing w:after="160" w:line="259" w:lineRule="auto"/>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Social value requirements and award criteria should be closely aligned with the model questions, model award criteria and sub-criteria set out in the Social Value Model. Evaluation weighting attributed to social value requirements should not be less than 10% of available marks.</w:t>
      </w:r>
    </w:p>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6">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B7">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8">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B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B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B2">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B4">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8" Type="http://schemas.openxmlformats.org/officeDocument/2006/relationships/hyperlink" Target="https://assets.publishing.service.gov.uk/government/uploads/system/uploads/attachment_data/file/940826/Social-Value-Model-Edn-1.1-3-Dec-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2jMf9GOyP7wsTFixrMo9BNYrqA==">AMUW2mV8j4YdE1QGvHb9tdyAptKAIvbwz/3frpsEra/Zfneymr204lVR5NzPqhXNQTYi0toZVmFqVq+R5wIxpRdp4aeyRi0C1uJl7GQnI5r8rhkxQrvCPg3osWCmDrxGN9KCGOwPchv4cQjkplj1JvYsJK/NQ6zHXAtbMFjWvMRP77vDxROkwST7w4NWO+mnp5TU5IUHdgpeo4BfxgSAefHLA+WenVK+O4frc0PvMPWv0clhPWvt8V0Ykyd8A1zWY//QDiNP4Hhd/hO+ISrn1M/r0rN2Tqj6AjuQAdgK0CLH8ZmpNfqS8sSoUcHIlPDGyW/VmgGJ1Sk2td45Z+iuJy4nfYEkSnimV5PheEaLYXY5/gD6SMcu1a9cAPLCfIxDh7DhHLYZxD4abLzLCKr0yS1kSkptazaWzB2Q2YDgrbl2clXGaO0lg/3GPYkiTKDR2jcL9R9Daz7/5/hwsvOXco9g5j1zQrTCInVkC5Lf0RMHA829UzUfKsfJxd86MVytjAFrE1WL4C5JKd643rfoVErBPqoTk7k+AWnUjJlBbD3NhQQgGYFk5VWaiolojPrpSFpAo98CqsMF893MWZSnr4iYfv+ErzH9RF4TmC3F0OshXBzhMPOLLLXfHyofkM1RLun77vuVran9lYUmixNCqhL6y0l/WyOfshH3usz6d7Sfwyetmvs+m7mFlEv96xOai4xb4FukzQvwONA42xxhfsdtX8tPulkuaAR6/T3hvlwoxdfrVLFRDLhMix+/ZZTCdxoJgFJ6Re58+N62VhfVHajJZsXSgX2rUimBtQP3PpTdSzPeSQ1UfUGqwy0YubudpXQYn4QsYaGL1acUECrPMPcnUtay9iN83GzR77sjvX9FwsJSQayBenqx02jI9IaZyBTBByR/2O/NbYr4u1f9QQ8HHTmYYMtybf/21fy7nx8GwRdqhDFiUidj7qrVYJG9v9uYDvvgys9WrH6pa2O+Pft5PNgl0SGZC+rPrpessuelHstn1v6IKyBA4ortuEUVGMNqVo7BZE0vklGwd0JZtwfLTVlTGDfesP8t7LpqL1faIA2gocLRYyaeTsUXe+71SGahfzOzM31i9p8JI2Fl6GoxrL0gXVeppUxRjYPKY1u6x+MNDWiqwamu+OHItSjVEXmfRcgD5C3FKAMw6g+IH6BAPyrvNNhtT6q3DYnUwDvhq6bn5G4O1tUc50ZtLxQ0ysfjeOabnk4qQUH6BhnABE20gGlkieKjeBFiZBUwRBB54cW2D8e2edJc+sPo46QOw1LoJQmTFSYpOprlt4tavLT+a/+a5U+TeABi6NPq1KEvKdciCVsleU8zjP1cEUCWyTk/uV4xGEMd978XdXOg1Zk+i57FuCd1bXswHtpmWRAqCcaAMMZRgDGCni3kPgtBNq2SDDRcpNkinC4pADGbVyXKItb/vt8T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